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0E" w:rsidRDefault="0026010E" w:rsidP="0026010E">
      <w:pPr>
        <w:pStyle w:val="NoSpacing"/>
      </w:pPr>
    </w:p>
    <w:p w:rsidR="0026010E" w:rsidRPr="0026010E" w:rsidRDefault="0026010E" w:rsidP="0026010E">
      <w:pPr>
        <w:pStyle w:val="NoSpacing"/>
        <w:rPr>
          <w:b/>
        </w:rPr>
      </w:pPr>
      <w:r>
        <w:rPr>
          <w:b/>
        </w:rPr>
        <w:t>Quonset Area Access Procedures</w:t>
      </w:r>
    </w:p>
    <w:p w:rsidR="0026010E" w:rsidRDefault="0026010E" w:rsidP="0026010E">
      <w:pPr>
        <w:pStyle w:val="NoSpacing"/>
      </w:pPr>
    </w:p>
    <w:p w:rsidR="0026010E" w:rsidRDefault="0026010E" w:rsidP="0026010E">
      <w:pPr>
        <w:pStyle w:val="NoSpacing"/>
      </w:pPr>
      <w:r>
        <w:t>Th</w:t>
      </w:r>
      <w:r w:rsidR="00A72D0D">
        <w:t xml:space="preserve">e area surrounding the Quonset </w:t>
      </w:r>
      <w:r w:rsidR="007D2DA1">
        <w:t>B</w:t>
      </w:r>
      <w:bookmarkStart w:id="0" w:name="_GoBack"/>
      <w:bookmarkEnd w:id="0"/>
      <w:r>
        <w:t xml:space="preserve">uilding has some unique characteristics of educational benefit to our students. </w:t>
      </w:r>
      <w:r w:rsidR="00A72D0D">
        <w:t>I</w:t>
      </w:r>
      <w:r>
        <w:t xml:space="preserve">t </w:t>
      </w:r>
      <w:r w:rsidR="00A72D0D">
        <w:t xml:space="preserve">also </w:t>
      </w:r>
      <w:r>
        <w:t>contains unique hazards due to the prese</w:t>
      </w:r>
      <w:r w:rsidR="00A72D0D">
        <w:t xml:space="preserve">nce of Risk Management </w:t>
      </w:r>
      <w:proofErr w:type="gramStart"/>
      <w:r w:rsidR="00A72D0D">
        <w:t xml:space="preserve">Services‘ </w:t>
      </w:r>
      <w:r>
        <w:t>Hazardous</w:t>
      </w:r>
      <w:proofErr w:type="gramEnd"/>
      <w:r>
        <w:t xml:space="preserve"> Waste Storage Depot and Facilities Management’s active work zone. Additionally, as this area houses the largest number of our facilities workers, it is their unofficial social area, much as hallways and lunch rooms are in other buildings. </w:t>
      </w:r>
    </w:p>
    <w:p w:rsidR="0026010E" w:rsidRDefault="0026010E" w:rsidP="0026010E">
      <w:pPr>
        <w:pStyle w:val="NoSpacing"/>
      </w:pPr>
    </w:p>
    <w:p w:rsidR="0026010E" w:rsidRDefault="0026010E" w:rsidP="0026010E">
      <w:pPr>
        <w:pStyle w:val="NoSpacing"/>
      </w:pPr>
      <w:r>
        <w:t>In order to protect students from hazards and provide time for Facilities Management</w:t>
      </w:r>
      <w:r w:rsidR="001D13D0">
        <w:t xml:space="preserve"> to secure the area, this form after being</w:t>
      </w:r>
      <w:r>
        <w:t xml:space="preserve"> signed by the supervising professor, should be emailed to Facilities Management </w:t>
      </w:r>
      <w:r w:rsidR="001D13D0">
        <w:t>(</w:t>
      </w:r>
      <w:hyperlink r:id="rId7" w:history="1">
        <w:r w:rsidR="001D13D0">
          <w:rPr>
            <w:rStyle w:val="Hyperlink"/>
          </w:rPr>
          <w:t>facilities.ok@ubc.ca</w:t>
        </w:r>
      </w:hyperlink>
      <w:r w:rsidR="001D13D0">
        <w:rPr>
          <w:color w:val="1F497D"/>
        </w:rPr>
        <w:t xml:space="preserve">) </w:t>
      </w:r>
      <w:r w:rsidR="001D13D0">
        <w:t>and Risk Management Services (</w:t>
      </w:r>
      <w:hyperlink r:id="rId8" w:history="1">
        <w:r w:rsidR="001D13D0" w:rsidRPr="00500CED">
          <w:rPr>
            <w:rStyle w:val="Hyperlink"/>
          </w:rPr>
          <w:t>riskmanagement.ok@ubc.ca</w:t>
        </w:r>
      </w:hyperlink>
      <w:r w:rsidR="001D13D0">
        <w:t>) at least 2 working days prior to the visit.</w:t>
      </w:r>
    </w:p>
    <w:p w:rsidR="001D13D0" w:rsidRDefault="001D13D0" w:rsidP="0026010E">
      <w:pPr>
        <w:pStyle w:val="NoSpacing"/>
      </w:pPr>
    </w:p>
    <w:p w:rsidR="001D13D0" w:rsidRDefault="001D13D0" w:rsidP="0026010E">
      <w:pPr>
        <w:pStyle w:val="NoSpacing"/>
      </w:pPr>
    </w:p>
    <w:p w:rsidR="001D13D0" w:rsidRPr="001D13D0" w:rsidRDefault="001D13D0" w:rsidP="0026010E">
      <w:pPr>
        <w:pStyle w:val="NoSpacing"/>
        <w:rPr>
          <w:u w:val="single"/>
        </w:rPr>
      </w:pPr>
      <w:r>
        <w:rPr>
          <w:u w:val="single"/>
        </w:rPr>
        <w:t>Class Visit to Quonset Area:</w:t>
      </w:r>
    </w:p>
    <w:p w:rsidR="001D13D0" w:rsidRDefault="001D13D0" w:rsidP="0026010E">
      <w:pPr>
        <w:pStyle w:val="NoSpacing"/>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5948"/>
      </w:tblGrid>
      <w:tr w:rsidR="001D13D0" w:rsidTr="001D13D0">
        <w:tc>
          <w:tcPr>
            <w:tcW w:w="2840" w:type="dxa"/>
          </w:tcPr>
          <w:p w:rsidR="001D13D0" w:rsidRDefault="001D13D0" w:rsidP="0026010E">
            <w:pPr>
              <w:pStyle w:val="NoSpacing"/>
            </w:pPr>
            <w:r>
              <w:t>Course Name &amp; Number:</w:t>
            </w:r>
          </w:p>
        </w:tc>
        <w:tc>
          <w:tcPr>
            <w:tcW w:w="5948" w:type="dxa"/>
            <w:tcBorders>
              <w:bottom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p>
        </w:tc>
        <w:tc>
          <w:tcPr>
            <w:tcW w:w="5948" w:type="dxa"/>
            <w:tcBorders>
              <w:top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p>
        </w:tc>
        <w:tc>
          <w:tcPr>
            <w:tcW w:w="5948" w:type="dxa"/>
            <w:tcBorders>
              <w:bottom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p>
        </w:tc>
        <w:tc>
          <w:tcPr>
            <w:tcW w:w="5948" w:type="dxa"/>
            <w:tcBorders>
              <w:top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p>
        </w:tc>
        <w:tc>
          <w:tcPr>
            <w:tcW w:w="5948" w:type="dxa"/>
          </w:tcPr>
          <w:p w:rsidR="001D13D0" w:rsidRDefault="001D13D0" w:rsidP="0026010E">
            <w:pPr>
              <w:pStyle w:val="NoSpacing"/>
            </w:pPr>
          </w:p>
        </w:tc>
      </w:tr>
      <w:tr w:rsidR="001D13D0" w:rsidTr="001D13D0">
        <w:tc>
          <w:tcPr>
            <w:tcW w:w="2840" w:type="dxa"/>
          </w:tcPr>
          <w:p w:rsidR="001D13D0" w:rsidRDefault="001D13D0" w:rsidP="0026010E">
            <w:pPr>
              <w:pStyle w:val="NoSpacing"/>
            </w:pPr>
            <w:r>
              <w:t>Supervising Instructor Name:</w:t>
            </w:r>
          </w:p>
        </w:tc>
        <w:tc>
          <w:tcPr>
            <w:tcW w:w="5948" w:type="dxa"/>
            <w:tcBorders>
              <w:bottom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p>
        </w:tc>
        <w:tc>
          <w:tcPr>
            <w:tcW w:w="5948" w:type="dxa"/>
            <w:tcBorders>
              <w:top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r>
              <w:t>Contact Phone Number:</w:t>
            </w:r>
          </w:p>
        </w:tc>
        <w:tc>
          <w:tcPr>
            <w:tcW w:w="5948" w:type="dxa"/>
            <w:tcBorders>
              <w:bottom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p>
        </w:tc>
        <w:tc>
          <w:tcPr>
            <w:tcW w:w="5948" w:type="dxa"/>
            <w:tcBorders>
              <w:top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r>
              <w:t>Contact Email:</w:t>
            </w:r>
          </w:p>
        </w:tc>
        <w:tc>
          <w:tcPr>
            <w:tcW w:w="5948" w:type="dxa"/>
            <w:tcBorders>
              <w:bottom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p>
        </w:tc>
        <w:tc>
          <w:tcPr>
            <w:tcW w:w="5948" w:type="dxa"/>
            <w:tcBorders>
              <w:top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p>
        </w:tc>
        <w:tc>
          <w:tcPr>
            <w:tcW w:w="5948" w:type="dxa"/>
            <w:tcBorders>
              <w:top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r>
              <w:t>Specific Location of Visit:</w:t>
            </w:r>
          </w:p>
        </w:tc>
        <w:tc>
          <w:tcPr>
            <w:tcW w:w="5948" w:type="dxa"/>
            <w:tcBorders>
              <w:bottom w:val="single" w:sz="4" w:space="0" w:color="auto"/>
            </w:tcBorders>
          </w:tcPr>
          <w:p w:rsidR="001D13D0" w:rsidRDefault="001D13D0" w:rsidP="0026010E">
            <w:pPr>
              <w:pStyle w:val="NoSpacing"/>
            </w:pPr>
          </w:p>
        </w:tc>
      </w:tr>
      <w:tr w:rsidR="001D13D0" w:rsidTr="001D13D0">
        <w:tc>
          <w:tcPr>
            <w:tcW w:w="2840" w:type="dxa"/>
          </w:tcPr>
          <w:p w:rsidR="001D13D0" w:rsidRDefault="001D13D0" w:rsidP="0026010E">
            <w:pPr>
              <w:pStyle w:val="NoSpacing"/>
            </w:pPr>
          </w:p>
        </w:tc>
        <w:tc>
          <w:tcPr>
            <w:tcW w:w="5948" w:type="dxa"/>
            <w:tcBorders>
              <w:top w:val="single" w:sz="4" w:space="0" w:color="auto"/>
            </w:tcBorders>
          </w:tcPr>
          <w:p w:rsidR="001D13D0" w:rsidRDefault="001D13D0" w:rsidP="0026010E">
            <w:pPr>
              <w:pStyle w:val="NoSpacing"/>
            </w:pPr>
          </w:p>
        </w:tc>
      </w:tr>
      <w:tr w:rsidR="00C6416A" w:rsidTr="001D13D0">
        <w:tc>
          <w:tcPr>
            <w:tcW w:w="2840" w:type="dxa"/>
          </w:tcPr>
          <w:p w:rsidR="00C6416A" w:rsidRDefault="00C6416A" w:rsidP="0026010E">
            <w:pPr>
              <w:pStyle w:val="NoSpacing"/>
            </w:pPr>
          </w:p>
        </w:tc>
        <w:tc>
          <w:tcPr>
            <w:tcW w:w="5948" w:type="dxa"/>
            <w:tcBorders>
              <w:top w:val="single" w:sz="4" w:space="0" w:color="auto"/>
            </w:tcBorders>
          </w:tcPr>
          <w:p w:rsidR="00C6416A" w:rsidRDefault="00C6416A" w:rsidP="0026010E">
            <w:pPr>
              <w:pStyle w:val="NoSpacing"/>
            </w:pPr>
          </w:p>
        </w:tc>
      </w:tr>
      <w:tr w:rsidR="00C6416A" w:rsidTr="001D13D0">
        <w:tc>
          <w:tcPr>
            <w:tcW w:w="2840" w:type="dxa"/>
          </w:tcPr>
          <w:p w:rsidR="00C6416A" w:rsidRDefault="00C6416A" w:rsidP="0026010E">
            <w:pPr>
              <w:pStyle w:val="NoSpacing"/>
            </w:pPr>
          </w:p>
        </w:tc>
        <w:tc>
          <w:tcPr>
            <w:tcW w:w="5948" w:type="dxa"/>
            <w:tcBorders>
              <w:top w:val="single" w:sz="4" w:space="0" w:color="auto"/>
            </w:tcBorders>
          </w:tcPr>
          <w:p w:rsidR="00C6416A" w:rsidRDefault="00C6416A" w:rsidP="0026010E">
            <w:pPr>
              <w:pStyle w:val="NoSpacing"/>
            </w:pPr>
          </w:p>
        </w:tc>
      </w:tr>
      <w:tr w:rsidR="00C6416A" w:rsidTr="001D13D0">
        <w:tc>
          <w:tcPr>
            <w:tcW w:w="2840" w:type="dxa"/>
          </w:tcPr>
          <w:p w:rsidR="00C6416A" w:rsidRDefault="00C6416A" w:rsidP="0026010E">
            <w:pPr>
              <w:pStyle w:val="NoSpacing"/>
            </w:pPr>
          </w:p>
        </w:tc>
        <w:tc>
          <w:tcPr>
            <w:tcW w:w="5948" w:type="dxa"/>
            <w:tcBorders>
              <w:top w:val="single" w:sz="4" w:space="0" w:color="auto"/>
            </w:tcBorders>
          </w:tcPr>
          <w:p w:rsidR="00C6416A" w:rsidRDefault="00C6416A" w:rsidP="0026010E">
            <w:pPr>
              <w:pStyle w:val="NoSpacing"/>
            </w:pPr>
          </w:p>
        </w:tc>
      </w:tr>
      <w:tr w:rsidR="001D13D0" w:rsidTr="001D13D0">
        <w:tc>
          <w:tcPr>
            <w:tcW w:w="2840" w:type="dxa"/>
          </w:tcPr>
          <w:p w:rsidR="001D13D0" w:rsidRDefault="001D13D0" w:rsidP="0026010E">
            <w:pPr>
              <w:pStyle w:val="NoSpacing"/>
            </w:pPr>
            <w:r>
              <w:t>Date &amp; Time of Visit:</w:t>
            </w:r>
          </w:p>
        </w:tc>
        <w:tc>
          <w:tcPr>
            <w:tcW w:w="5948" w:type="dxa"/>
            <w:tcBorders>
              <w:bottom w:val="single" w:sz="4" w:space="0" w:color="auto"/>
            </w:tcBorders>
          </w:tcPr>
          <w:p w:rsidR="001D13D0" w:rsidRDefault="001D13D0" w:rsidP="0026010E">
            <w:pPr>
              <w:pStyle w:val="NoSpacing"/>
            </w:pPr>
          </w:p>
        </w:tc>
      </w:tr>
    </w:tbl>
    <w:p w:rsidR="001D13D0" w:rsidRDefault="001D13D0" w:rsidP="0026010E">
      <w:pPr>
        <w:pStyle w:val="NoSpacing"/>
      </w:pPr>
    </w:p>
    <w:p w:rsidR="00C6416A" w:rsidRDefault="00C6416A" w:rsidP="0026010E">
      <w:pPr>
        <w:pStyle w:val="NoSpacing"/>
      </w:pPr>
    </w:p>
    <w:p w:rsidR="00C6416A" w:rsidRDefault="00C6416A" w:rsidP="00C6416A">
      <w:pPr>
        <w:pStyle w:val="NoSpacing"/>
        <w:jc w:val="right"/>
      </w:pPr>
      <w:r>
        <w:t>Continued on page 2</w:t>
      </w:r>
    </w:p>
    <w:p w:rsidR="00C6416A" w:rsidRDefault="00C6416A">
      <w:r>
        <w:br w:type="page"/>
      </w:r>
    </w:p>
    <w:p w:rsidR="00C6416A" w:rsidRDefault="00C6416A" w:rsidP="0026010E">
      <w:pPr>
        <w:pStyle w:val="NoSpacing"/>
      </w:pPr>
    </w:p>
    <w:p w:rsidR="00C6416A" w:rsidRDefault="00C6416A" w:rsidP="0026010E">
      <w:pPr>
        <w:pStyle w:val="NoSpacing"/>
      </w:pPr>
    </w:p>
    <w:p w:rsidR="001D13D0" w:rsidRDefault="001D13D0" w:rsidP="0026010E">
      <w:pPr>
        <w:pStyle w:val="NoSpacing"/>
      </w:pPr>
      <w:r>
        <w:t>Please review the following information and provide it to the students visiting the site:</w:t>
      </w:r>
    </w:p>
    <w:p w:rsidR="00C6416A" w:rsidRDefault="00C6416A" w:rsidP="0026010E">
      <w:pPr>
        <w:pStyle w:val="NoSpacing"/>
      </w:pPr>
    </w:p>
    <w:p w:rsidR="00C80CF0" w:rsidRDefault="001D13D0" w:rsidP="001D13D0">
      <w:pPr>
        <w:pStyle w:val="NoSpacing"/>
        <w:ind w:left="1134" w:right="855"/>
      </w:pPr>
      <w:r>
        <w:t xml:space="preserve">“The area </w:t>
      </w:r>
      <w:r w:rsidR="00A72D0D">
        <w:t>surroun</w:t>
      </w:r>
      <w:r w:rsidR="00C80CF0">
        <w:t xml:space="preserve">ding the UBCO Quonset building is </w:t>
      </w:r>
      <w:r>
        <w:t>an active work site</w:t>
      </w:r>
      <w:r w:rsidR="00C80CF0">
        <w:t xml:space="preserve"> which has various hazards around it. These hazards include the use of heavy and mechanical equipment, the presence of hazardous chemicals and the presence of vehicles. While visiting this site, you are responsible for your own safety. A few general rules to follow:</w:t>
      </w:r>
    </w:p>
    <w:p w:rsidR="00C80CF0" w:rsidRDefault="00C80CF0" w:rsidP="00C80CF0">
      <w:pPr>
        <w:pStyle w:val="NoSpacing"/>
        <w:numPr>
          <w:ilvl w:val="0"/>
          <w:numId w:val="1"/>
        </w:numPr>
        <w:ind w:right="855"/>
      </w:pPr>
      <w:r>
        <w:t>Do not climb on slopes</w:t>
      </w:r>
    </w:p>
    <w:p w:rsidR="00C80CF0" w:rsidRDefault="00C80CF0" w:rsidP="00C80CF0">
      <w:pPr>
        <w:pStyle w:val="NoSpacing"/>
        <w:numPr>
          <w:ilvl w:val="0"/>
          <w:numId w:val="1"/>
        </w:numPr>
        <w:ind w:right="855"/>
      </w:pPr>
      <w:r>
        <w:t>Do not stand or climb on equipment</w:t>
      </w:r>
    </w:p>
    <w:p w:rsidR="00C80CF0" w:rsidRDefault="00C80CF0" w:rsidP="00C80CF0">
      <w:pPr>
        <w:pStyle w:val="NoSpacing"/>
        <w:numPr>
          <w:ilvl w:val="0"/>
          <w:numId w:val="1"/>
        </w:numPr>
        <w:ind w:right="855"/>
      </w:pPr>
      <w:r>
        <w:t>Do not stand on wood / lumber due to the potential presence of nails</w:t>
      </w:r>
    </w:p>
    <w:p w:rsidR="00C80CF0" w:rsidRDefault="00C80CF0" w:rsidP="00C80CF0">
      <w:pPr>
        <w:pStyle w:val="NoSpacing"/>
        <w:numPr>
          <w:ilvl w:val="0"/>
          <w:numId w:val="1"/>
        </w:numPr>
        <w:ind w:right="855"/>
      </w:pPr>
      <w:r>
        <w:t>Do not enter buildings (except Science Shed with permission)</w:t>
      </w:r>
    </w:p>
    <w:p w:rsidR="00C80CF0" w:rsidRDefault="00C80CF0" w:rsidP="00C80CF0">
      <w:pPr>
        <w:pStyle w:val="NoSpacing"/>
        <w:numPr>
          <w:ilvl w:val="0"/>
          <w:numId w:val="1"/>
        </w:numPr>
        <w:ind w:right="855"/>
      </w:pPr>
      <w:r>
        <w:t>Wear close toed shoes</w:t>
      </w:r>
    </w:p>
    <w:p w:rsidR="00C6416A" w:rsidRDefault="00C6416A" w:rsidP="00C80CF0">
      <w:pPr>
        <w:pStyle w:val="NoSpacing"/>
        <w:numPr>
          <w:ilvl w:val="0"/>
          <w:numId w:val="1"/>
        </w:numPr>
        <w:ind w:right="855"/>
      </w:pPr>
      <w:r>
        <w:t>Keep clear of all traffic</w:t>
      </w:r>
      <w:r w:rsidR="00A72D0D">
        <w:t>,</w:t>
      </w:r>
      <w:r>
        <w:t xml:space="preserve"> including golf carts</w:t>
      </w:r>
    </w:p>
    <w:p w:rsidR="00E26A7E" w:rsidRDefault="00E26A7E" w:rsidP="00C80CF0">
      <w:pPr>
        <w:pStyle w:val="NoSpacing"/>
        <w:numPr>
          <w:ilvl w:val="0"/>
          <w:numId w:val="1"/>
        </w:numPr>
        <w:ind w:right="855"/>
      </w:pPr>
      <w:r>
        <w:t>Exit the area in an orderly fashion if alarms are heard</w:t>
      </w:r>
    </w:p>
    <w:p w:rsidR="00C80CF0" w:rsidRDefault="00C80CF0" w:rsidP="00C80CF0">
      <w:pPr>
        <w:pStyle w:val="NoSpacing"/>
        <w:numPr>
          <w:ilvl w:val="0"/>
          <w:numId w:val="1"/>
        </w:numPr>
        <w:ind w:right="855"/>
      </w:pPr>
      <w:r>
        <w:t>Keep together as a group</w:t>
      </w:r>
    </w:p>
    <w:p w:rsidR="00C6416A" w:rsidRDefault="00C6416A" w:rsidP="00C80CF0">
      <w:pPr>
        <w:pStyle w:val="NoSpacing"/>
        <w:ind w:left="1134" w:right="855"/>
        <w:jc w:val="center"/>
      </w:pPr>
    </w:p>
    <w:p w:rsidR="001D13D0" w:rsidRDefault="00A72D0D" w:rsidP="00C80CF0">
      <w:pPr>
        <w:pStyle w:val="NoSpacing"/>
        <w:ind w:left="1134" w:right="855"/>
        <w:jc w:val="center"/>
      </w:pPr>
      <w:r>
        <w:rPr>
          <w:b/>
          <w:sz w:val="28"/>
        </w:rPr>
        <w:t>Be C</w:t>
      </w:r>
      <w:r w:rsidR="00C80CF0" w:rsidRPr="00C6416A">
        <w:rPr>
          <w:b/>
          <w:sz w:val="28"/>
        </w:rPr>
        <w:t>autious and Alert</w:t>
      </w:r>
      <w:r w:rsidR="00C80CF0">
        <w:t>”</w:t>
      </w:r>
    </w:p>
    <w:p w:rsidR="001D13D0" w:rsidRDefault="001D13D0" w:rsidP="0026010E">
      <w:pPr>
        <w:pStyle w:val="NoSpacing"/>
      </w:pPr>
    </w:p>
    <w:p w:rsidR="001D13D0" w:rsidRDefault="001D13D0" w:rsidP="0026010E">
      <w:pPr>
        <w:pStyle w:val="NoSpacing"/>
      </w:pPr>
    </w:p>
    <w:p w:rsidR="00C80CF0" w:rsidRDefault="00C80CF0" w:rsidP="00B650A4">
      <w:pPr>
        <w:pStyle w:val="NoSpacing"/>
        <w:tabs>
          <w:tab w:val="left" w:leader="underscore" w:pos="5103"/>
        </w:tabs>
      </w:pPr>
      <w:r>
        <w:t xml:space="preserve">I, </w:t>
      </w:r>
      <w:r>
        <w:tab/>
        <w:t xml:space="preserve">have read the </w:t>
      </w:r>
      <w:r w:rsidR="00C6416A">
        <w:t>attached information and shared it with each student, staff or faculty that will be visiting the Quonset area for teaching or research purposes. As the supervising instructor for this class, I acknowledge being responsible for the safety and conduct of students while visiting the Quonset area.</w:t>
      </w:r>
    </w:p>
    <w:p w:rsidR="001D13D0" w:rsidRDefault="001D13D0" w:rsidP="0026010E">
      <w:pPr>
        <w:pStyle w:val="NoSpacing"/>
      </w:pPr>
    </w:p>
    <w:p w:rsidR="00C6416A" w:rsidRDefault="00C6416A" w:rsidP="0026010E">
      <w:pPr>
        <w:pStyle w:val="NoSpacing"/>
      </w:pPr>
    </w:p>
    <w:p w:rsidR="00E26A7E" w:rsidRDefault="00E26A7E" w:rsidP="0026010E">
      <w:pPr>
        <w:pStyle w:val="NoSpacing"/>
      </w:pPr>
    </w:p>
    <w:p w:rsidR="00E26A7E" w:rsidRDefault="00E26A7E" w:rsidP="0026010E">
      <w:pPr>
        <w:pStyle w:val="NoSpacing"/>
      </w:pPr>
    </w:p>
    <w:p w:rsidR="00E26A7E" w:rsidRDefault="00E26A7E" w:rsidP="0026010E">
      <w:pPr>
        <w:pStyle w:val="NoSpacing"/>
      </w:pPr>
    </w:p>
    <w:p w:rsidR="00C6416A" w:rsidRDefault="00C6416A" w:rsidP="0026010E">
      <w:pPr>
        <w:pStyle w:val="NoSpacing"/>
      </w:pPr>
    </w:p>
    <w:p w:rsidR="00C6416A" w:rsidRDefault="00E26A7E" w:rsidP="00E26A7E">
      <w:pPr>
        <w:pStyle w:val="NoSpacing"/>
        <w:pBdr>
          <w:top w:val="single" w:sz="4" w:space="1" w:color="auto"/>
        </w:pBdr>
        <w:tabs>
          <w:tab w:val="right" w:pos="9356"/>
        </w:tabs>
      </w:pPr>
      <w:r>
        <w:t>Supervising Instructor Signature</w:t>
      </w:r>
      <w:r>
        <w:tab/>
        <w:t>Date</w:t>
      </w:r>
    </w:p>
    <w:p w:rsidR="001D13D0" w:rsidRDefault="001D13D0" w:rsidP="0026010E">
      <w:pPr>
        <w:pStyle w:val="NoSpacing"/>
      </w:pPr>
    </w:p>
    <w:p w:rsidR="001D13D0" w:rsidRDefault="001D13D0" w:rsidP="0026010E">
      <w:pPr>
        <w:pStyle w:val="NoSpacing"/>
      </w:pPr>
    </w:p>
    <w:p w:rsidR="00E26A7E" w:rsidRDefault="00E26A7E" w:rsidP="0026010E">
      <w:pPr>
        <w:pStyle w:val="NoSpacing"/>
      </w:pPr>
    </w:p>
    <w:p w:rsidR="00E26A7E" w:rsidRDefault="00E26A7E" w:rsidP="0026010E">
      <w:pPr>
        <w:pStyle w:val="NoSpacing"/>
      </w:pPr>
    </w:p>
    <w:p w:rsidR="0026010E" w:rsidRPr="0026010E" w:rsidRDefault="0026010E" w:rsidP="0026010E">
      <w:pPr>
        <w:pStyle w:val="NoSpacing"/>
      </w:pPr>
    </w:p>
    <w:sectPr w:rsidR="0026010E" w:rsidRPr="0026010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0E" w:rsidRDefault="0026010E" w:rsidP="0026010E">
      <w:pPr>
        <w:spacing w:after="0" w:line="240" w:lineRule="auto"/>
      </w:pPr>
      <w:r>
        <w:separator/>
      </w:r>
    </w:p>
  </w:endnote>
  <w:endnote w:type="continuationSeparator" w:id="0">
    <w:p w:rsidR="0026010E" w:rsidRDefault="0026010E" w:rsidP="0026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F0" w:rsidRDefault="00C80CF0" w:rsidP="00C80CF0">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7D2DA1">
      <w:rPr>
        <w:noProof/>
      </w:rPr>
      <w:t>1</w:t>
    </w:r>
    <w:r>
      <w:fldChar w:fldCharType="end"/>
    </w:r>
    <w:r>
      <w:t xml:space="preserve"> of </w:t>
    </w:r>
    <w:r w:rsidR="007D2DA1">
      <w:fldChar w:fldCharType="begin"/>
    </w:r>
    <w:r w:rsidR="007D2DA1">
      <w:instrText xml:space="preserve"> NUMPAGES  \* Arabic  \* MERGEFORMAT </w:instrText>
    </w:r>
    <w:r w:rsidR="007D2DA1">
      <w:fldChar w:fldCharType="separate"/>
    </w:r>
    <w:r w:rsidR="007D2DA1">
      <w:rPr>
        <w:noProof/>
      </w:rPr>
      <w:t>2</w:t>
    </w:r>
    <w:r w:rsidR="007D2D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0E" w:rsidRDefault="0026010E" w:rsidP="0026010E">
      <w:pPr>
        <w:spacing w:after="0" w:line="240" w:lineRule="auto"/>
      </w:pPr>
      <w:r>
        <w:separator/>
      </w:r>
    </w:p>
  </w:footnote>
  <w:footnote w:type="continuationSeparator" w:id="0">
    <w:p w:rsidR="0026010E" w:rsidRDefault="0026010E" w:rsidP="00260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10E" w:rsidRDefault="0026010E" w:rsidP="0026010E">
    <w:pPr>
      <w:pStyle w:val="Header"/>
      <w:jc w:val="right"/>
      <w:rPr>
        <w:b/>
      </w:rPr>
    </w:pPr>
    <w:r>
      <w:rPr>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628775" cy="47537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b282c2015_2016-04-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475376"/>
                  </a:xfrm>
                  <a:prstGeom prst="rect">
                    <a:avLst/>
                  </a:prstGeom>
                </pic:spPr>
              </pic:pic>
            </a:graphicData>
          </a:graphic>
        </wp:anchor>
      </w:drawing>
    </w:r>
    <w:r>
      <w:rPr>
        <w:b/>
      </w:rPr>
      <w:t>Facilities Management</w:t>
    </w:r>
  </w:p>
  <w:p w:rsidR="0026010E" w:rsidRDefault="0026010E" w:rsidP="0026010E">
    <w:pPr>
      <w:pStyle w:val="Header"/>
      <w:jc w:val="right"/>
      <w:rPr>
        <w:b/>
      </w:rPr>
    </w:pPr>
    <w:r>
      <w:rPr>
        <w:b/>
      </w:rPr>
      <w:t>Risk Management Services</w:t>
    </w:r>
  </w:p>
  <w:p w:rsidR="0026010E" w:rsidRDefault="0026010E" w:rsidP="0026010E">
    <w:pPr>
      <w:pStyle w:val="Header"/>
      <w:jc w:val="right"/>
    </w:pPr>
  </w:p>
  <w:p w:rsidR="0026010E" w:rsidRPr="0026010E" w:rsidRDefault="0026010E" w:rsidP="0026010E">
    <w:pPr>
      <w:pStyle w:val="Header"/>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5274E"/>
    <w:multiLevelType w:val="hybridMultilevel"/>
    <w:tmpl w:val="4D5AFA12"/>
    <w:lvl w:ilvl="0" w:tplc="10090001">
      <w:start w:val="1"/>
      <w:numFmt w:val="bullet"/>
      <w:lvlText w:val=""/>
      <w:lvlJc w:val="left"/>
      <w:pPr>
        <w:ind w:left="2214" w:hanging="360"/>
      </w:pPr>
      <w:rPr>
        <w:rFonts w:ascii="Symbol" w:hAnsi="Symbo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0E"/>
    <w:rsid w:val="001D13D0"/>
    <w:rsid w:val="0026010E"/>
    <w:rsid w:val="007D2DA1"/>
    <w:rsid w:val="00A72D0D"/>
    <w:rsid w:val="00B650A4"/>
    <w:rsid w:val="00C6416A"/>
    <w:rsid w:val="00C80CF0"/>
    <w:rsid w:val="00E26A7E"/>
    <w:rsid w:val="00E55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833CBE6-F9FB-4BD1-ACF7-9051AFAE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0E"/>
  </w:style>
  <w:style w:type="paragraph" w:styleId="Footer">
    <w:name w:val="footer"/>
    <w:basedOn w:val="Normal"/>
    <w:link w:val="FooterChar"/>
    <w:uiPriority w:val="99"/>
    <w:unhideWhenUsed/>
    <w:rsid w:val="0026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0E"/>
  </w:style>
  <w:style w:type="paragraph" w:styleId="NoSpacing">
    <w:name w:val="No Spacing"/>
    <w:uiPriority w:val="1"/>
    <w:qFormat/>
    <w:rsid w:val="0026010E"/>
    <w:pPr>
      <w:spacing w:after="0" w:line="240" w:lineRule="auto"/>
    </w:pPr>
  </w:style>
  <w:style w:type="character" w:styleId="Hyperlink">
    <w:name w:val="Hyperlink"/>
    <w:basedOn w:val="DefaultParagraphFont"/>
    <w:uiPriority w:val="99"/>
    <w:unhideWhenUsed/>
    <w:rsid w:val="001D13D0"/>
    <w:rPr>
      <w:color w:val="0563C1"/>
      <w:u w:val="single"/>
    </w:rPr>
  </w:style>
  <w:style w:type="table" w:styleId="TableGrid">
    <w:name w:val="Table Grid"/>
    <w:basedOn w:val="TableNormal"/>
    <w:uiPriority w:val="39"/>
    <w:rsid w:val="001D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ok@ubc.ca" TargetMode="External"/><Relationship Id="rId3" Type="http://schemas.openxmlformats.org/officeDocument/2006/relationships/settings" Target="settings.xml"/><Relationship Id="rId7" Type="http://schemas.openxmlformats.org/officeDocument/2006/relationships/hyperlink" Target="mailto:facilities.ok@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chmichel</dc:creator>
  <cp:keywords/>
  <dc:description/>
  <cp:lastModifiedBy>chmichel</cp:lastModifiedBy>
  <cp:revision>3</cp:revision>
  <dcterms:created xsi:type="dcterms:W3CDTF">2017-05-23T19:30:00Z</dcterms:created>
  <dcterms:modified xsi:type="dcterms:W3CDTF">2017-09-12T18:34:00Z</dcterms:modified>
</cp:coreProperties>
</file>